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Responses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57"/>
          <w:szCs w:val="5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57"/>
          <w:szCs w:val="57"/>
          <w:bdr w:val="none" w:color="auto" w:sz="0" w:space="0"/>
          <w:shd w:val="clear" w:fill="FFFFFF"/>
          <w:cs/>
          <w:lang w:val="en-US" w:eastAsia="zh-CN" w:bidi="ar-SA"/>
        </w:rPr>
        <w:t>امتحان نهائي مادة مبادئ الإرشاد النفسي</w:t>
      </w:r>
      <w:r>
        <w:rPr>
          <w:rFonts w:hint="default" w:ascii="Segoe UI" w:hAnsi="Segoe UI" w:eastAsia="Segoe UI" w:cs="Segoe UI"/>
          <w:i w:val="0"/>
          <w:iCs w:val="0"/>
          <w:caps w:val="0"/>
          <w:color w:val="03787C"/>
          <w:spacing w:val="0"/>
          <w:kern w:val="0"/>
          <w:sz w:val="57"/>
          <w:szCs w:val="57"/>
          <w:bdr w:val="none" w:color="auto" w:sz="0" w:space="0"/>
          <w:shd w:val="clear" w:fill="FFFFFF"/>
          <w:lang w:val="en-US" w:eastAsia="zh-CN" w:bidi="ar"/>
        </w:rPr>
        <w:t>(50 Points)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1050" w:afterAutospacing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cs/>
          <w:lang w:val="en-US" w:eastAsia="zh-CN" w:bidi="ar-SA"/>
        </w:rPr>
        <w:t>اختر الإجابة الأصح مما يلي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يعتبر روجرز من علماء الاتجاه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التحليلي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السلوكي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الإنساني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المعرفي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في تجربة بافلوف يعتبر صوت الجرس بعد اقتران ظهوره بالطعام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مثير شرطي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مثير طبيعي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استجابة شرطية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استجابة طبيعية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يعتبرتكليف الطالب المشاغب بتنظيف ساحة المدرسة لمشاغبته في الحصص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عقاب ايجابي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عقاب سلبي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تعزيز ايجابي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تعزيز سلبي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خفض الفائدة البنكية نتيجة سداد العميل لقيمة القرض في مدة مبكرة هو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تعزيز سلبي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تعزيز ايجابي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عقاب سلبي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عقاب ايجابي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5.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الحقائق المرتبطة بميكانيزمات الدفاع عند فرويد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أنها تحدث بشكل شعوري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أنها تحمي الانسان من التعرض للالم المرتبط بالخبرة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يمكن التحكم بها اثناء التعرض لموقف معين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يمكن تعلمها من البيئة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6.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حسب رأي إليس السبب في ردود افعالنا هو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الحدث الذي نتعرض له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مشاعرنا اتجاه الاحداث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طريقة ادراكنا للأحداث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سلوكنا المتعلم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7.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السلوك محكوم بنتائجه يفسر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نموذج التعلم الاجتماعي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نموذج الاشراط الكلاسكي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نموذج الاشراط الاجرائي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نموذج إليس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 xml:space="preserve">8. 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تأثر المرشد بمعلومات يعرفها عن مسترشده يعبر عن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أثر الهالة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التراكمية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الدقة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الموضوعية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9.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في الاتجاه المباشر للمقابلة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المسؤولية في إدارة المقابلة تقع على عاتق المرشد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المسؤولية في ادارة المقابلة تقع على عاتق المسترشد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توزع الأدوار بين المرشد والمسترشد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حسب الموقف تحدد المسؤوليات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10.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التركيز على التناقضات التي تظهر في حديث المسترشد تسمى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إعادة الصياغة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المواجهة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الإصفاء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التلخيص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11.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الأمور التي تدل على إصغاء المرشد أثناء المقابلة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التواصل البصري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الاستماع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إعادة الصياغة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جميع ما ذكر صحيح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12.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الملاحظة التي يستخدمها المرشد كاسلوب جمع المعلومات هي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الملاحظة العابرة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الملاحظة المنظمة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الملاحظة العرضية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 شيء مما دكر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13.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الأسلوب الذي يتسم بتتعدد مصادر جمع المعلومات لتنفيذه هو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الاختبارات النفسية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الملاحظة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دراسة الحالة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المقابلة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14.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عيوب مؤتمر الحالة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المعلومات المتنوعة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المعلومات المتضاربة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اختلاف خبرات الأعضاء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اشراك الأسرة في المؤتمر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15.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شروط الاختبارات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الصدق والثبات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الموضوعية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سهولة الاستخدام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جمبع ما ذكر صحيح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16.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احداث تغيرات في سلوك واسلوب حياة المسترشد هدف يرتبط بالإرشاد التأهيلي فقط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17.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يحدث الفهم التعاطفي عندما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يحس المرشد بمساعر المسترشد حسب عالمه وإيصال ذلك للمسترشد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النظر للأمور حسب الاطار المرجعي الخاص بالمسترشد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مشاركة المسترشد باحاسيسه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التركيز على الحالة الانفعالية للمسترشد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18.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أفعال المرشد التي تدل على الاعتبار الإيجابي للمسترشد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الالتزام بمواعيد المقابلات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الموافقه على كل ما يصدر من المسترشد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قبول المرشد المسترشدين المشابهين له في الأفكار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جميع ما ذكر صحيح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19.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اساليب التعامل مع المقاومة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مواجهة المسترشد بالتناقضات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تجاهل أساليب المقاومة الشديدة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تأخير بناء الثقة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الاعتذار من المسترشد وتحويله لمرشد آخر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20.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سياسة الباب المفتوح مع بعض المسترشدين يعتبر من طرق إنهاء العلاقة الإرشادية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21.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المناهج المستخدمة في الإرشاد المدرسي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المنهج الوقائي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المنهج العلاجي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المنهج النمائي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جميع ما ذكر صحيح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22.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تتعلق أهداف الإرشاد المدرسي بالأهداف التربوية فقط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23.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تكمن أهمية الإرشاد المهني بالفوائد التي تعود على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الفرد واستثمار قدراته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المجتمع وتطوير مؤسساته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ظهور الابداع والاختراعات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جميع ما ذكر صحيح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24.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قد يتضمن إرشاد المراهقين إرشاد مهني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25.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يراعي إرشاد كبار السن خصائص المرحلة النمائية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26.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الأسلوب الإرشادي المناسب لإرشاد المخاوف المرضية هو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الإرشاد الفردي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الإرشاد الجمعي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الإرشاد باللعب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الإرشاد التعبيري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27.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أساليب الإرشاد النفسي ثابتة ومجددة لا يمكن تغييرها أو تطويرها مع الوقت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28.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مبررات الإرشاد الجمعي امكانية ممارسة سلوكيات جديدة داخل المجموعة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29.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يناسب الإرشاد الجمعي جميع الأفراد الذين يعانون من مشكلات نفسية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30.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حقائق الإرشاد الجمعي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وجود مهارات خاصة به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يتشابه مع الإرشاد الفردي في جميع المهارات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يناسب جميع المسترشدين بدون استثناء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عدد المسترشدين غير محدد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31.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تشتمل الأنشطة التعبيرية في الإرشاد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الأساليب اللفظية والأساليب غير اللفظية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الأساليب غير اللفظية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أساليب تعبير عن المشاعر والمكبوتات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جميع ما ذكر صحيح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32.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تعتبر أقلام التلوين من طرق التعبير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الإسقاطية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العلاجية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الإسقاطية والعلاجية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 شيء مما ذكر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33.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ما يميز الإرشاد الجمعي عن الإرشاد الفردي التفاعل بين الأعضاء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34.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يقدم الإرشاد الأسري الخدمات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النفسية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الاجتماعيةو النفسية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التدريب على المهارات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جميع ما ذكر صحيح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35.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يقدم المرشد الإرشاد الأسري من خلال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المنهج الوقائي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المنهج العلاجي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المنهج النمائي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جميع ما ذكر صحيح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36.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أهداف الإرشاد الأسري التغلب على المشكلات التي تعترض الحياة الأسرية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37.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الخدمات الإرشاديةالتي تقدم للمراهقين التثقيف بالأمور الدينية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38.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يهدف إرشاد المراهقين الوصول إلى التكيف والاستقرار النفسي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39.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الحقائق التي تتعلق بالإرشاد المدرسي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يمكن تقديم الإرشاد من خلال المعلم المحبوب من قبل الطلبة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امكانية التعاون ما بين المرشد والمعلمين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يعتبر الإرشاد المدرسي رفاهية تقدمه بعض المدارس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يساعد المرشد المدرسي المعلمين في اعطاء الحصص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40.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يدل ظهور مشاعر التحويل على عدم كفاءة المرشد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41.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يقصد بالتحويل المضاد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مشاعر وأفكار يسقطها المرشد على المشترسد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مشاعر وأفكار يسقطها المسترشد على المرشد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ظاهرة تحدث عند المرشد والمسترشد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مشاعر المرشد اتجاه من حوله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42.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في مرحلة الاستكشاف قد يرغب المسترشد إنهاء العلاقة الإرشادية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43.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يحتوي العقد الرسمي بين المرشد والمسترشد على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عدد الجلسات والتكلفة المادية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حقوق وواجبات كلا الطرفين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الهدف من الإرشاد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جمبع ما ذكر صحيح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44.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تستخدم المنبهات الكلامية غير المباشرة في الجلسة الأولى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45.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على المرشد التأكيد على سلوك الدور أثناء تعامله مع المسترشد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46.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يحتوي الدليل الإحصائي والتشخيصي الخامس على ستة محاور رئيسية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47.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من طرق إنهاء المقابلة الإرشادية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تلخيص ما دار في الجلسة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انتهاء الوقت المحدد للجلسة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حسب رغبة المسترشد في الإنهاء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جميع ما ذكر صحيح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48.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ما يميز المقابلة عن غيرها من طرق جمع المعلومات التنفيس الانفعالي عند حديث المسترشد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49.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تجنب المشاكل وعدم مواجتها تعتبر من الأفكار العقلانية التي حددها إليس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1050" w:afterAutospacing="0" w:line="20" w:lineRule="atLeast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50.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cs/>
          <w:lang w:val="en-US" w:eastAsia="zh-CN" w:bidi="ar-SA"/>
        </w:rPr>
        <w:t>يمكن استخدام المرح والعابة والسخرية من الأفكار اللاعقلانية هي أحد الأساليب السلوكية التي يمكن استخدامها</w:t>
      </w:r>
      <w:r>
        <w:rPr>
          <w:rFonts w:hint="default" w:ascii="Segoe UI" w:hAnsi="Segoe UI" w:eastAsia="Segoe UI" w:cs="Segoe UI"/>
          <w:i w:val="0"/>
          <w:iCs w:val="0"/>
          <w:caps w:val="0"/>
          <w:color w:val="014446"/>
          <w:spacing w:val="0"/>
          <w:kern w:val="0"/>
          <w:sz w:val="25"/>
          <w:szCs w:val="25"/>
          <w:shd w:val="clear" w:fill="FFFFFF"/>
          <w:lang w:val="en-US" w:eastAsia="zh-CN" w:bidi="ar"/>
        </w:rPr>
        <w:t>(1 Point)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نعم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30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23130"/>
          <w:spacing w:val="0"/>
          <w:kern w:val="0"/>
          <w:sz w:val="22"/>
          <w:szCs w:val="22"/>
          <w:shd w:val="clear" w:fill="FFFFFF"/>
          <w:cs/>
          <w:lang w:val="en-US" w:eastAsia="zh-CN" w:bidi="ar-SA"/>
        </w:rPr>
        <w:t>لا</w:t>
      </w:r>
    </w:p>
    <w:p>
      <w:pPr>
        <w:jc w:val="right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3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2021-02-03T04:56:20Z</dcterms:created>
  <dc:creator>khaled</dc:creator>
  <cp:lastModifiedBy>khaled</cp:lastModifiedBy>
  <dcterms:modified xsi:type="dcterms:W3CDTF">2021-02-03T04:56:59Z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